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61" w:rsidRPr="005D5C61" w:rsidRDefault="00251FF4" w:rsidP="005D5C61">
      <w:pPr>
        <w:pBdr>
          <w:top w:val="single" w:sz="4" w:space="1" w:color="auto"/>
          <w:left w:val="single" w:sz="4" w:space="4" w:color="auto"/>
          <w:bottom w:val="single" w:sz="4" w:space="1" w:color="auto"/>
          <w:right w:val="single" w:sz="4" w:space="4" w:color="auto"/>
        </w:pBdr>
        <w:spacing w:after="160" w:line="259" w:lineRule="auto"/>
        <w:jc w:val="center"/>
        <w:rPr>
          <w:rFonts w:ascii="DINPro-Regular" w:eastAsia="Batang" w:hAnsi="DINPro-Regular"/>
          <w:b/>
          <w:sz w:val="22"/>
          <w:szCs w:val="22"/>
          <w:lang w:eastAsia="en-US"/>
        </w:rPr>
      </w:pPr>
      <w:bookmarkStart w:id="0" w:name="_GoBack"/>
      <w:bookmarkEnd w:id="0"/>
      <w:r w:rsidRPr="005D5C61">
        <w:rPr>
          <w:rFonts w:ascii="DINPro-Regular" w:eastAsia="Batang" w:hAnsi="DINPro-Regular"/>
          <w:b/>
          <w:sz w:val="22"/>
          <w:szCs w:val="22"/>
          <w:lang w:eastAsia="en-US"/>
        </w:rPr>
        <w:t>Adhésion</w:t>
      </w:r>
      <w:r w:rsidR="005D5C61" w:rsidRPr="005D5C61">
        <w:rPr>
          <w:rFonts w:ascii="DINPro-Regular" w:eastAsia="Batang" w:hAnsi="DINPro-Regular"/>
          <w:b/>
          <w:sz w:val="22"/>
          <w:szCs w:val="22"/>
          <w:lang w:eastAsia="en-US"/>
        </w:rPr>
        <w:t xml:space="preserve"> au GIP</w:t>
      </w:r>
      <w:r w:rsidR="00D062BF">
        <w:rPr>
          <w:rFonts w:ascii="DINPro-Regular" w:eastAsia="Batang" w:hAnsi="DINPro-Regular"/>
          <w:b/>
          <w:sz w:val="22"/>
          <w:szCs w:val="22"/>
          <w:lang w:eastAsia="en-US"/>
        </w:rPr>
        <w:t xml:space="preserve"> </w:t>
      </w:r>
      <w:r w:rsidR="00D062BF" w:rsidRPr="00D062BF">
        <w:rPr>
          <w:rFonts w:ascii="DINPro-Regular" w:eastAsia="Batang" w:hAnsi="DINPro-Regular"/>
          <w:b/>
          <w:sz w:val="20"/>
          <w:szCs w:val="20"/>
          <w:lang w:eastAsia="en-US"/>
        </w:rPr>
        <w:t>« Sant&amp; Numérique Hauts-de-France »</w:t>
      </w: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w:t>
      </w:r>
      <w:r w:rsidRPr="00251FF4">
        <w:rPr>
          <w:rFonts w:ascii="DINPro-Regular" w:eastAsia="Batang" w:hAnsi="DINPro-Regular"/>
          <w:sz w:val="22"/>
          <w:szCs w:val="22"/>
          <w:highlight w:val="yellow"/>
          <w:lang w:eastAsia="en-US"/>
        </w:rPr>
        <w:t>Forme à adapter à chaque membre]</w:t>
      </w: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Vu la loi n° 2011-525 du 17 mai 2011 de simplification et d'amélioration de la qualité du droit et ses textes d’application,</w:t>
      </w: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Vu la création de la région administrative des Hauts-de-France,</w:t>
      </w: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Vu les instructions ministérielles du 11 mai 2016 SG/DSSIS/2016/147 et du 10 janvier 2017 SG/DSSIS/2017/8</w:t>
      </w:r>
      <w:r w:rsidRPr="005D5C61">
        <w:rPr>
          <w:rFonts w:ascii="DINPro-Regular" w:eastAsia="Calibri" w:hAnsi="DINPro-Regular"/>
          <w:sz w:val="22"/>
          <w:szCs w:val="22"/>
          <w:lang w:eastAsia="en-US"/>
        </w:rPr>
        <w:t xml:space="preserve"> précisant </w:t>
      </w:r>
      <w:r w:rsidRPr="005D5C61">
        <w:rPr>
          <w:rFonts w:ascii="DINPro-Regular" w:eastAsia="Batang" w:hAnsi="DINPro-Regular"/>
          <w:sz w:val="22"/>
          <w:szCs w:val="22"/>
          <w:lang w:eastAsia="en-US"/>
        </w:rPr>
        <w:t>le dispositif de gouvernance en matière de politique régionale d’e-santé à organiser en région et les modalités de mise en place d’un groupement d’appui au développement de l’</w:t>
      </w:r>
      <w:r w:rsidR="00251FF4">
        <w:rPr>
          <w:rFonts w:ascii="DINPro-Regular" w:eastAsia="Batang" w:hAnsi="DINPro-Regular"/>
          <w:sz w:val="22"/>
          <w:szCs w:val="22"/>
          <w:lang w:eastAsia="en-US"/>
        </w:rPr>
        <w:t>E</w:t>
      </w:r>
      <w:r w:rsidR="00251FF4" w:rsidRPr="005D5C61">
        <w:rPr>
          <w:rFonts w:ascii="DINPro-Regular" w:eastAsia="Batang" w:hAnsi="DINPro-Regular"/>
          <w:sz w:val="22"/>
          <w:szCs w:val="22"/>
          <w:lang w:eastAsia="en-US"/>
        </w:rPr>
        <w:t>-Santé</w:t>
      </w:r>
      <w:r w:rsidRPr="005D5C61">
        <w:rPr>
          <w:rFonts w:ascii="DINPro-Regular" w:eastAsia="Batang" w:hAnsi="DINPro-Regular"/>
          <w:sz w:val="22"/>
          <w:szCs w:val="22"/>
          <w:lang w:eastAsia="en-US"/>
        </w:rPr>
        <w:t>, le GRADeS,</w:t>
      </w: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Vu le projet de convention constitutive du Groupement d’Intérêt Public « Sant&amp; Numérique Hauts-de-France »,</w:t>
      </w: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Considérant la transformation d</w:t>
      </w:r>
      <w:r w:rsidR="00450621">
        <w:rPr>
          <w:rFonts w:ascii="DINPro-Regular" w:eastAsia="Batang" w:hAnsi="DINPro-Regular"/>
          <w:sz w:val="22"/>
          <w:szCs w:val="22"/>
          <w:lang w:eastAsia="en-US"/>
        </w:rPr>
        <w:t xml:space="preserve">es </w:t>
      </w:r>
      <w:r w:rsidRPr="005D5C61">
        <w:rPr>
          <w:rFonts w:ascii="DINPro-Regular" w:eastAsia="Batang" w:hAnsi="DINPro-Regular"/>
          <w:sz w:val="22"/>
          <w:szCs w:val="22"/>
          <w:lang w:eastAsia="en-US"/>
        </w:rPr>
        <w:t xml:space="preserve"> Groupement</w:t>
      </w:r>
      <w:r w:rsidR="00450621">
        <w:rPr>
          <w:rFonts w:ascii="DINPro-Regular" w:eastAsia="Batang" w:hAnsi="DINPro-Regular"/>
          <w:sz w:val="22"/>
          <w:szCs w:val="22"/>
          <w:lang w:eastAsia="en-US"/>
        </w:rPr>
        <w:t>s</w:t>
      </w:r>
      <w:r w:rsidRPr="005D5C61">
        <w:rPr>
          <w:rFonts w:ascii="DINPro-Regular" w:eastAsia="Batang" w:hAnsi="DINPro-Regular"/>
          <w:sz w:val="22"/>
          <w:szCs w:val="22"/>
          <w:lang w:eastAsia="en-US"/>
        </w:rPr>
        <w:t xml:space="preserve"> de coopération sanitaire </w:t>
      </w:r>
      <w:r w:rsidR="00251FF4" w:rsidRPr="00450621">
        <w:rPr>
          <w:rFonts w:ascii="DINPro-Regular" w:eastAsia="Batang" w:hAnsi="DINPro-Regular"/>
          <w:sz w:val="22"/>
          <w:szCs w:val="22"/>
          <w:lang w:eastAsia="en-US"/>
        </w:rPr>
        <w:t>E-Santé</w:t>
      </w:r>
      <w:r w:rsidR="00450621" w:rsidRPr="00450621">
        <w:rPr>
          <w:rFonts w:ascii="DINPro-Regular" w:eastAsia="Batang" w:hAnsi="DINPro-Regular"/>
          <w:sz w:val="22"/>
          <w:szCs w:val="22"/>
          <w:lang w:eastAsia="en-US"/>
        </w:rPr>
        <w:t xml:space="preserve"> Picardie </w:t>
      </w:r>
      <w:r w:rsidR="00450621">
        <w:rPr>
          <w:rFonts w:ascii="DINPro-Regular" w:eastAsia="Batang" w:hAnsi="DINPro-Regular"/>
          <w:sz w:val="22"/>
          <w:szCs w:val="22"/>
          <w:lang w:eastAsia="en-US"/>
        </w:rPr>
        <w:t xml:space="preserve">et </w:t>
      </w:r>
      <w:r w:rsidR="00450621" w:rsidRPr="00450621">
        <w:rPr>
          <w:rFonts w:ascii="DINPro-Regular" w:eastAsia="Batang" w:hAnsi="DINPro-Regular"/>
          <w:sz w:val="22"/>
          <w:szCs w:val="22"/>
          <w:lang w:eastAsia="en-US"/>
        </w:rPr>
        <w:t xml:space="preserve">MATISS </w:t>
      </w:r>
      <w:r w:rsidRPr="005D5C61">
        <w:rPr>
          <w:rFonts w:ascii="DINPro-Regular" w:eastAsia="Batang" w:hAnsi="DINPro-Regular"/>
          <w:sz w:val="22"/>
          <w:szCs w:val="22"/>
          <w:lang w:eastAsia="en-US"/>
        </w:rPr>
        <w:t xml:space="preserve">n groupement d’intérêt public, </w:t>
      </w: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Considérant que cette transformation s’effectuera sans dissolution ni création d’une personne morale nouvelle conformément à l’article 101 de la loi n° 2011-525 du 17 mai 2011 de simplification et d'amélioration de la qualité du droit, et dans les conditions ci-après :</w:t>
      </w:r>
    </w:p>
    <w:p w:rsidR="005D5C61" w:rsidRPr="005D5C61" w:rsidRDefault="005D5C61" w:rsidP="0045062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Le</w:t>
      </w:r>
      <w:r w:rsidR="00450621">
        <w:rPr>
          <w:rFonts w:ascii="DINPro-Regular" w:eastAsia="Batang" w:hAnsi="DINPro-Regular"/>
          <w:sz w:val="22"/>
          <w:szCs w:val="22"/>
          <w:lang w:eastAsia="en-US"/>
        </w:rPr>
        <w:t>s</w:t>
      </w:r>
      <w:r w:rsidRPr="005D5C61">
        <w:rPr>
          <w:rFonts w:ascii="DINPro-Regular" w:eastAsia="Batang" w:hAnsi="DINPro-Regular"/>
          <w:sz w:val="22"/>
          <w:szCs w:val="22"/>
          <w:lang w:eastAsia="en-US"/>
        </w:rPr>
        <w:t xml:space="preserve"> GCS</w:t>
      </w:r>
      <w:r w:rsidR="00450621">
        <w:rPr>
          <w:rFonts w:ascii="DINPro-Regular" w:eastAsia="Batang" w:hAnsi="DINPro-Regular"/>
          <w:sz w:val="22"/>
          <w:szCs w:val="22"/>
          <w:lang w:eastAsia="en-US"/>
        </w:rPr>
        <w:t xml:space="preserve"> </w:t>
      </w:r>
      <w:r w:rsidR="00251FF4" w:rsidRPr="00450621">
        <w:rPr>
          <w:rFonts w:ascii="DINPro-Regular" w:eastAsia="Batang" w:hAnsi="DINPro-Regular"/>
          <w:sz w:val="22"/>
          <w:szCs w:val="22"/>
          <w:lang w:eastAsia="en-US"/>
        </w:rPr>
        <w:t>E-Santé</w:t>
      </w:r>
      <w:r w:rsidR="00450621" w:rsidRPr="00450621">
        <w:rPr>
          <w:rFonts w:ascii="DINPro-Regular" w:eastAsia="Batang" w:hAnsi="DINPro-Regular"/>
          <w:sz w:val="22"/>
          <w:szCs w:val="22"/>
          <w:lang w:eastAsia="en-US"/>
        </w:rPr>
        <w:t xml:space="preserve"> Picardie</w:t>
      </w:r>
      <w:r w:rsidRPr="005D5C61">
        <w:rPr>
          <w:rFonts w:ascii="DINPro-Regular" w:eastAsia="Batang" w:hAnsi="DINPro-Regular"/>
          <w:sz w:val="22"/>
          <w:szCs w:val="22"/>
          <w:lang w:eastAsia="en-US"/>
        </w:rPr>
        <w:t xml:space="preserve"> </w:t>
      </w:r>
      <w:r w:rsidR="00B93E74">
        <w:rPr>
          <w:rFonts w:ascii="DINPro-Regular" w:eastAsia="Batang" w:hAnsi="DINPro-Regular"/>
          <w:sz w:val="22"/>
          <w:szCs w:val="22"/>
          <w:lang w:eastAsia="en-US"/>
        </w:rPr>
        <w:t xml:space="preserve">et le GCS </w:t>
      </w:r>
      <w:r w:rsidR="00450621" w:rsidRPr="00450621">
        <w:rPr>
          <w:rFonts w:ascii="DINPro-Regular" w:eastAsia="Batang" w:hAnsi="DINPro-Regular"/>
          <w:sz w:val="22"/>
          <w:szCs w:val="22"/>
          <w:lang w:eastAsia="en-US"/>
        </w:rPr>
        <w:t>MATISS</w:t>
      </w:r>
      <w:r w:rsidR="00450621">
        <w:rPr>
          <w:rFonts w:ascii="DINPro-Regular" w:eastAsia="Batang" w:hAnsi="DINPro-Regular"/>
          <w:sz w:val="22"/>
          <w:szCs w:val="22"/>
          <w:lang w:eastAsia="en-US"/>
        </w:rPr>
        <w:t xml:space="preserve">  </w:t>
      </w:r>
      <w:r w:rsidR="00B93E74">
        <w:rPr>
          <w:rFonts w:ascii="DINPro-Regular" w:eastAsia="Batang" w:hAnsi="DINPro-Regular"/>
          <w:sz w:val="22"/>
          <w:szCs w:val="22"/>
          <w:lang w:eastAsia="en-US"/>
        </w:rPr>
        <w:t>seront</w:t>
      </w:r>
      <w:r w:rsidRPr="005D5C61">
        <w:rPr>
          <w:rFonts w:ascii="DINPro-Regular" w:eastAsia="Batang" w:hAnsi="DINPro-Regular"/>
          <w:sz w:val="22"/>
          <w:szCs w:val="22"/>
          <w:lang w:eastAsia="en-US"/>
        </w:rPr>
        <w:t xml:space="preserve"> transformé</w:t>
      </w:r>
      <w:r w:rsidR="00B93E74">
        <w:rPr>
          <w:rFonts w:ascii="DINPro-Regular" w:eastAsia="Batang" w:hAnsi="DINPro-Regular"/>
          <w:sz w:val="22"/>
          <w:szCs w:val="22"/>
          <w:lang w:eastAsia="en-US"/>
        </w:rPr>
        <w:t>s</w:t>
      </w:r>
      <w:r w:rsidRPr="005D5C61">
        <w:rPr>
          <w:rFonts w:ascii="DINPro-Regular" w:eastAsia="Batang" w:hAnsi="DINPro-Regular"/>
          <w:sz w:val="22"/>
          <w:szCs w:val="22"/>
          <w:lang w:eastAsia="en-US"/>
        </w:rPr>
        <w:t xml:space="preserve"> en Groupement d’intérêt public </w:t>
      </w:r>
      <w:r w:rsidR="00B93E74">
        <w:rPr>
          <w:rFonts w:ascii="DINPro-Regular" w:eastAsia="Batang" w:hAnsi="DINPro-Regular"/>
          <w:sz w:val="22"/>
          <w:szCs w:val="22"/>
          <w:lang w:eastAsia="en-US"/>
        </w:rPr>
        <w:t xml:space="preserve">unique </w:t>
      </w:r>
      <w:r w:rsidRPr="005D5C61">
        <w:rPr>
          <w:rFonts w:ascii="DINPro-Regular" w:eastAsia="Batang" w:hAnsi="DINPro-Regular"/>
          <w:sz w:val="22"/>
          <w:szCs w:val="22"/>
          <w:lang w:eastAsia="en-US"/>
        </w:rPr>
        <w:t>régi par</w:t>
      </w:r>
      <w:r w:rsidRPr="005D5C61">
        <w:rPr>
          <w:rFonts w:ascii="DINPro-Regular" w:eastAsia="Calibri" w:hAnsi="DINPro-Regular"/>
          <w:sz w:val="22"/>
          <w:szCs w:val="22"/>
          <w:lang w:eastAsia="en-US"/>
        </w:rPr>
        <w:t xml:space="preserve"> </w:t>
      </w:r>
      <w:r w:rsidRPr="005D5C61">
        <w:rPr>
          <w:rFonts w:ascii="DINPro-Regular" w:eastAsia="Batang" w:hAnsi="DINPro-Regular"/>
          <w:sz w:val="22"/>
          <w:szCs w:val="22"/>
          <w:lang w:eastAsia="en-US"/>
        </w:rPr>
        <w:t>loi n° 2011-525 du 17 mai 2011 de simplification et d'amélioration de la qualité du droit et ses textes d’application.</w:t>
      </w:r>
    </w:p>
    <w:p w:rsidR="005D5C61" w:rsidRPr="005D5C61" w:rsidRDefault="005D5C61" w:rsidP="005D5C6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 xml:space="preserve">Aux termes de l’article 2 de la convention constitutive, le groupement aura notamment pour objet d’assurer </w:t>
      </w:r>
      <w:r w:rsidRPr="005D5C61">
        <w:rPr>
          <w:rFonts w:ascii="DINPro-Regular" w:eastAsia="Calibri" w:hAnsi="DINPro-Regular"/>
          <w:sz w:val="22"/>
          <w:szCs w:val="22"/>
          <w:lang w:eastAsia="en-US"/>
        </w:rPr>
        <w:t>les missions suivantes :</w:t>
      </w:r>
    </w:p>
    <w:p w:rsidR="005D5C61" w:rsidRPr="005D5C61" w:rsidRDefault="005D5C61" w:rsidP="005D5C61">
      <w:pPr>
        <w:numPr>
          <w:ilvl w:val="1"/>
          <w:numId w:val="2"/>
        </w:numPr>
        <w:spacing w:after="160" w:line="259" w:lineRule="auto"/>
        <w:jc w:val="both"/>
        <w:rPr>
          <w:rFonts w:ascii="DINPro-Regular" w:eastAsia="Calibri" w:hAnsi="DINPro-Regular"/>
          <w:sz w:val="22"/>
          <w:szCs w:val="22"/>
          <w:lang w:eastAsia="en-US"/>
        </w:rPr>
      </w:pPr>
      <w:r w:rsidRPr="005D5C61">
        <w:rPr>
          <w:rFonts w:ascii="DINPro-Regular" w:eastAsia="Calibri" w:hAnsi="DINPro-Regular"/>
          <w:sz w:val="22"/>
          <w:szCs w:val="22"/>
          <w:lang w:eastAsia="en-US"/>
        </w:rPr>
        <w:t>En appui de l’agence régionale de santé :</w:t>
      </w:r>
    </w:p>
    <w:p w:rsidR="005D5C61" w:rsidRPr="005D5C61" w:rsidRDefault="005D5C61" w:rsidP="005D5C61">
      <w:pPr>
        <w:numPr>
          <w:ilvl w:val="2"/>
          <w:numId w:val="2"/>
        </w:numPr>
        <w:spacing w:after="160" w:line="259" w:lineRule="auto"/>
        <w:jc w:val="both"/>
        <w:rPr>
          <w:rFonts w:ascii="DINPro-Regular" w:eastAsia="Calibri" w:hAnsi="DINPro-Regular"/>
          <w:sz w:val="22"/>
          <w:szCs w:val="22"/>
          <w:lang w:eastAsia="en-US"/>
        </w:rPr>
      </w:pPr>
      <w:r w:rsidRPr="005D5C61">
        <w:rPr>
          <w:rFonts w:ascii="DINPro-Regular" w:eastAsia="Calibri" w:hAnsi="DINPro-Regular"/>
          <w:sz w:val="22"/>
          <w:szCs w:val="22"/>
          <w:lang w:eastAsia="en-US"/>
        </w:rPr>
        <w:t xml:space="preserve"> participer à l’élaboration et à la mise en œuvre de la stratégie régionale d’e-santé ;</w:t>
      </w:r>
    </w:p>
    <w:p w:rsidR="005D5C61" w:rsidRPr="005D5C61" w:rsidRDefault="005D5C61" w:rsidP="005D5C61">
      <w:pPr>
        <w:numPr>
          <w:ilvl w:val="2"/>
          <w:numId w:val="2"/>
        </w:numPr>
        <w:spacing w:after="160" w:line="259" w:lineRule="auto"/>
        <w:jc w:val="both"/>
        <w:rPr>
          <w:rFonts w:ascii="DINPro-Regular" w:eastAsia="Calibri" w:hAnsi="DINPro-Regular"/>
          <w:sz w:val="22"/>
          <w:szCs w:val="22"/>
          <w:lang w:eastAsia="en-US"/>
        </w:rPr>
      </w:pPr>
      <w:r w:rsidRPr="005D5C61">
        <w:rPr>
          <w:rFonts w:ascii="DINPro-Regular" w:eastAsia="Calibri" w:hAnsi="DINPro-Regular"/>
          <w:sz w:val="22"/>
          <w:szCs w:val="22"/>
          <w:lang w:eastAsia="en-US"/>
        </w:rPr>
        <w:t>conduire les projets de la stratégie régionale de e-santé que l’agence régionale de santé lui confie, en particulier ceux relatifs au socle commun minimum de services numériques en santé ;</w:t>
      </w:r>
    </w:p>
    <w:p w:rsidR="005D5C61" w:rsidRPr="005D5C61" w:rsidRDefault="005D5C61" w:rsidP="005D5C61">
      <w:pPr>
        <w:numPr>
          <w:ilvl w:val="2"/>
          <w:numId w:val="2"/>
        </w:numPr>
        <w:spacing w:after="160" w:line="259" w:lineRule="auto"/>
        <w:jc w:val="both"/>
        <w:rPr>
          <w:rFonts w:ascii="DINPro-Regular" w:eastAsia="Calibri" w:hAnsi="DINPro-Regular"/>
          <w:sz w:val="22"/>
          <w:szCs w:val="22"/>
          <w:lang w:eastAsia="en-US"/>
        </w:rPr>
      </w:pPr>
      <w:r w:rsidRPr="005D5C61">
        <w:rPr>
          <w:rFonts w:ascii="DINPro-Regular" w:eastAsia="Calibri" w:hAnsi="DINPro-Regular"/>
          <w:sz w:val="22"/>
          <w:szCs w:val="22"/>
          <w:lang w:eastAsia="en-US"/>
        </w:rPr>
        <w:t>contribuer à l’urbanisation, la sécurité et l’interopérabilité des systèmes d’information de santé à l’échelle régionale (en veillant notamment au respect des référentiels inscrits au cadre commun des projets d’e-santé) et accompagner la convergence des initiatives locales vers la cible régionale.</w:t>
      </w:r>
    </w:p>
    <w:p w:rsidR="005D5C61" w:rsidRPr="005D5C61" w:rsidRDefault="005D5C61" w:rsidP="005D5C61">
      <w:pPr>
        <w:jc w:val="both"/>
        <w:rPr>
          <w:rFonts w:ascii="DINPro-Regular" w:hAnsi="DINPro-Regular"/>
          <w:sz w:val="22"/>
          <w:szCs w:val="22"/>
        </w:rPr>
      </w:pPr>
    </w:p>
    <w:p w:rsidR="00B93E74" w:rsidRDefault="00B93E74">
      <w:pPr>
        <w:rPr>
          <w:rFonts w:ascii="DINPro-Regular" w:eastAsia="Calibri" w:hAnsi="DINPro-Regular"/>
          <w:sz w:val="22"/>
          <w:szCs w:val="22"/>
          <w:lang w:eastAsia="en-US"/>
        </w:rPr>
      </w:pPr>
      <w:r>
        <w:rPr>
          <w:rFonts w:ascii="DINPro-Regular" w:eastAsia="Calibri" w:hAnsi="DINPro-Regular"/>
          <w:sz w:val="22"/>
          <w:szCs w:val="22"/>
          <w:lang w:eastAsia="en-US"/>
        </w:rPr>
        <w:br w:type="page"/>
      </w:r>
    </w:p>
    <w:p w:rsidR="005D5C61" w:rsidRPr="005D5C61" w:rsidRDefault="005D5C61" w:rsidP="005D5C61">
      <w:pPr>
        <w:numPr>
          <w:ilvl w:val="1"/>
          <w:numId w:val="2"/>
        </w:numPr>
        <w:spacing w:after="160" w:line="259" w:lineRule="auto"/>
        <w:jc w:val="both"/>
        <w:rPr>
          <w:rFonts w:ascii="DINPro-Regular" w:eastAsia="Batang" w:hAnsi="DINPro-Regular"/>
          <w:sz w:val="22"/>
          <w:szCs w:val="22"/>
          <w:lang w:eastAsia="en-US"/>
        </w:rPr>
      </w:pPr>
      <w:r w:rsidRPr="005D5C61">
        <w:rPr>
          <w:rFonts w:ascii="DINPro-Regular" w:eastAsia="Calibri" w:hAnsi="DINPro-Regular"/>
          <w:sz w:val="22"/>
          <w:szCs w:val="22"/>
          <w:lang w:eastAsia="en-US"/>
        </w:rPr>
        <w:lastRenderedPageBreak/>
        <w:t>Plus largement, au niveau régional :</w:t>
      </w:r>
    </w:p>
    <w:p w:rsidR="005D5C61" w:rsidRPr="005D5C61" w:rsidRDefault="005D5C61" w:rsidP="005D5C61">
      <w:pPr>
        <w:numPr>
          <w:ilvl w:val="2"/>
          <w:numId w:val="2"/>
        </w:numPr>
        <w:spacing w:after="160" w:line="259" w:lineRule="auto"/>
        <w:jc w:val="both"/>
        <w:rPr>
          <w:rFonts w:ascii="DINPro-Regular" w:eastAsia="Batang" w:hAnsi="DINPro-Regular"/>
          <w:sz w:val="22"/>
          <w:szCs w:val="22"/>
          <w:lang w:eastAsia="en-US"/>
        </w:rPr>
      </w:pPr>
      <w:r w:rsidRPr="005D5C61">
        <w:rPr>
          <w:rFonts w:ascii="DINPro-Regular" w:eastAsia="Calibri" w:hAnsi="DINPro-Regular"/>
          <w:sz w:val="22"/>
          <w:szCs w:val="22"/>
          <w:lang w:eastAsia="en-US"/>
        </w:rPr>
        <w:t>jouer un rôle d’animation et de fédération des acteurs de la région autour de la stratégie régionale de e-santé, en liaison avec l’agence régionale de santé qui pilote la gouvernance régionale de la e-santé ;</w:t>
      </w:r>
    </w:p>
    <w:p w:rsidR="005D5C61" w:rsidRPr="005D5C61" w:rsidRDefault="005D5C61" w:rsidP="005D5C61">
      <w:pPr>
        <w:numPr>
          <w:ilvl w:val="2"/>
          <w:numId w:val="2"/>
        </w:numPr>
        <w:spacing w:after="160" w:line="259" w:lineRule="auto"/>
        <w:jc w:val="both"/>
        <w:rPr>
          <w:rFonts w:ascii="DINPro-Regular" w:eastAsia="Batang" w:hAnsi="DINPro-Regular"/>
          <w:sz w:val="22"/>
          <w:szCs w:val="22"/>
          <w:lang w:eastAsia="en-US"/>
        </w:rPr>
      </w:pPr>
      <w:r w:rsidRPr="005D5C61">
        <w:rPr>
          <w:rFonts w:ascii="DINPro-Regular" w:eastAsia="Calibri" w:hAnsi="DINPro-Regular"/>
          <w:sz w:val="22"/>
          <w:szCs w:val="22"/>
          <w:lang w:eastAsia="en-US"/>
        </w:rPr>
        <w:t>promouvoir l’usage des services numériques dans les territoires, en déployant des actions au bénéfice des acteurs de santé et des usagers du système de santé ;</w:t>
      </w:r>
    </w:p>
    <w:p w:rsidR="005D5C61" w:rsidRPr="005D5C61" w:rsidRDefault="005D5C61" w:rsidP="005D5C61">
      <w:pPr>
        <w:numPr>
          <w:ilvl w:val="2"/>
          <w:numId w:val="2"/>
        </w:numPr>
        <w:spacing w:after="160" w:line="259" w:lineRule="auto"/>
        <w:jc w:val="both"/>
        <w:rPr>
          <w:rFonts w:ascii="DINPro-Regular" w:eastAsia="Batang" w:hAnsi="DINPro-Regular"/>
          <w:sz w:val="22"/>
          <w:szCs w:val="22"/>
          <w:lang w:eastAsia="en-US"/>
        </w:rPr>
      </w:pPr>
      <w:r w:rsidRPr="005D5C61">
        <w:rPr>
          <w:rFonts w:ascii="DINPro-Regular" w:eastAsia="Calibri" w:hAnsi="DINPro-Regular"/>
          <w:sz w:val="22"/>
          <w:szCs w:val="22"/>
          <w:lang w:eastAsia="en-US"/>
        </w:rPr>
        <w:t>apporter des expertises en e-santé au service des acteurs de la région ;</w:t>
      </w:r>
    </w:p>
    <w:p w:rsidR="005D5C61" w:rsidRPr="005D5C61" w:rsidRDefault="005D5C61" w:rsidP="005D5C61">
      <w:pPr>
        <w:numPr>
          <w:ilvl w:val="2"/>
          <w:numId w:val="2"/>
        </w:numPr>
        <w:spacing w:after="160" w:line="259" w:lineRule="auto"/>
        <w:jc w:val="both"/>
        <w:rPr>
          <w:rFonts w:ascii="DINPro-Regular" w:eastAsia="Batang" w:hAnsi="DINPro-Regular"/>
          <w:sz w:val="22"/>
          <w:szCs w:val="22"/>
          <w:lang w:eastAsia="en-US"/>
        </w:rPr>
      </w:pPr>
      <w:r w:rsidRPr="005D5C61">
        <w:rPr>
          <w:rFonts w:ascii="DINPro-Regular" w:eastAsia="Calibri" w:hAnsi="DINPro-Regular"/>
          <w:sz w:val="22"/>
          <w:szCs w:val="22"/>
          <w:lang w:eastAsia="en-US"/>
        </w:rPr>
        <w:t>contribuer à l’adéquation entre l’offre industrielle et la demande.</w:t>
      </w:r>
    </w:p>
    <w:p w:rsidR="005D5C61" w:rsidRPr="005D5C61" w:rsidRDefault="005D5C61" w:rsidP="005D5C61">
      <w:pPr>
        <w:jc w:val="both"/>
        <w:rPr>
          <w:rFonts w:ascii="DINPro-Regular" w:hAnsi="DINPro-Regular"/>
          <w:sz w:val="22"/>
          <w:szCs w:val="22"/>
        </w:rPr>
      </w:pPr>
    </w:p>
    <w:p w:rsidR="005D5C61" w:rsidRPr="005D5C61" w:rsidRDefault="005D5C61" w:rsidP="005D5C61">
      <w:pPr>
        <w:jc w:val="both"/>
        <w:rPr>
          <w:rFonts w:ascii="DINPro-Regular" w:hAnsi="DINPro-Regular"/>
          <w:sz w:val="22"/>
          <w:szCs w:val="22"/>
        </w:rPr>
      </w:pPr>
      <w:r w:rsidRPr="005D5C61">
        <w:rPr>
          <w:rFonts w:ascii="DINPro-Regular" w:hAnsi="DINPro-Regular"/>
          <w:sz w:val="22"/>
          <w:szCs w:val="22"/>
        </w:rPr>
        <w:t>Il peut également porter des projets non directement issus de la stratégie régionale de e-santé, dès lors qu’ils :</w:t>
      </w:r>
    </w:p>
    <w:p w:rsidR="005D5C61" w:rsidRPr="005D5C61" w:rsidRDefault="005D5C61" w:rsidP="005D5C61">
      <w:pPr>
        <w:numPr>
          <w:ilvl w:val="0"/>
          <w:numId w:val="1"/>
        </w:numPr>
        <w:spacing w:after="160" w:line="259" w:lineRule="auto"/>
        <w:jc w:val="both"/>
        <w:rPr>
          <w:rFonts w:ascii="DINPro-Regular" w:hAnsi="DINPro-Regular"/>
          <w:sz w:val="22"/>
          <w:szCs w:val="22"/>
        </w:rPr>
      </w:pPr>
      <w:r w:rsidRPr="005D5C61">
        <w:rPr>
          <w:rFonts w:ascii="DINPro-Regular" w:hAnsi="DINPro-Regular"/>
          <w:sz w:val="22"/>
          <w:szCs w:val="22"/>
        </w:rPr>
        <w:t>sont cohérents avec cette stratégie et ne pénalisent pas sa mise en œuvre ;</w:t>
      </w:r>
    </w:p>
    <w:p w:rsidR="005D5C61" w:rsidRPr="005D5C61" w:rsidRDefault="005D5C61" w:rsidP="005D5C61">
      <w:pPr>
        <w:numPr>
          <w:ilvl w:val="0"/>
          <w:numId w:val="1"/>
        </w:numPr>
        <w:spacing w:after="160" w:line="259" w:lineRule="auto"/>
        <w:jc w:val="both"/>
        <w:rPr>
          <w:rFonts w:ascii="DINPro-Regular" w:hAnsi="DINPro-Regular"/>
          <w:sz w:val="22"/>
          <w:szCs w:val="22"/>
        </w:rPr>
      </w:pPr>
      <w:r w:rsidRPr="005D5C61">
        <w:rPr>
          <w:rFonts w:ascii="DINPro-Regular" w:hAnsi="DINPro-Regular"/>
          <w:sz w:val="22"/>
          <w:szCs w:val="22"/>
        </w:rPr>
        <w:t>répondent à un intérêt commun de plusieurs membres ou acteurs ;</w:t>
      </w:r>
    </w:p>
    <w:p w:rsidR="005D5C61" w:rsidRPr="005D5C61" w:rsidRDefault="005D5C61" w:rsidP="005D5C61">
      <w:pPr>
        <w:numPr>
          <w:ilvl w:val="0"/>
          <w:numId w:val="1"/>
        </w:numPr>
        <w:spacing w:after="160" w:line="259" w:lineRule="auto"/>
        <w:jc w:val="both"/>
        <w:rPr>
          <w:rFonts w:ascii="DINPro-Regular" w:hAnsi="DINPro-Regular"/>
          <w:sz w:val="22"/>
          <w:szCs w:val="22"/>
        </w:rPr>
      </w:pPr>
      <w:r w:rsidRPr="005D5C61">
        <w:rPr>
          <w:rFonts w:ascii="DINPro-Regular" w:hAnsi="DINPro-Regular"/>
          <w:sz w:val="22"/>
          <w:szCs w:val="22"/>
        </w:rPr>
        <w:t>s’inscrivent dans une logique d’intérêt général, au service du développement du numérique en santé.</w:t>
      </w:r>
    </w:p>
    <w:p w:rsidR="005D5C61" w:rsidRPr="005D5C61" w:rsidRDefault="005D5C61" w:rsidP="005D5C61">
      <w:pPr>
        <w:spacing w:after="160" w:line="259" w:lineRule="auto"/>
        <w:ind w:left="1428"/>
        <w:jc w:val="both"/>
        <w:rPr>
          <w:rFonts w:ascii="DINPro-Regular" w:eastAsia="Batang" w:hAnsi="DINPro-Regular"/>
          <w:sz w:val="22"/>
          <w:szCs w:val="22"/>
          <w:lang w:eastAsia="en-US"/>
        </w:rPr>
      </w:pPr>
    </w:p>
    <w:p w:rsidR="005D5C61" w:rsidRPr="005D5C61" w:rsidRDefault="005D5C61" w:rsidP="005D5C6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Le nombre de droits sociaux détenu par chaque membre sera déterminé selon les modalités définies à l’article 8 de la convention constitutive du Groupement.</w:t>
      </w:r>
    </w:p>
    <w:p w:rsidR="005D5C61" w:rsidRPr="005D5C61" w:rsidRDefault="005D5C61" w:rsidP="005D5C6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Les modalités de financement du groupement seront inchangées.</w:t>
      </w:r>
    </w:p>
    <w:p w:rsidR="005D5C61" w:rsidRPr="005D5C61" w:rsidRDefault="005D5C61" w:rsidP="005D5C6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 xml:space="preserve">Dans le cadre de cette opération, l’ensemble des biens, droits et obligations du Groupement de coopération sanitaire E-santé Picardie et du Groupement de coopération sanitaire MATISS sera transféré au Groupement d’intérêt public lequel sera substitué de plein droit dans l’ensemble des délibérations et actes des </w:t>
      </w:r>
      <w:r w:rsidR="00B93E74">
        <w:rPr>
          <w:rFonts w:ascii="DINPro-Regular" w:eastAsia="Batang" w:hAnsi="DINPro-Regular"/>
          <w:sz w:val="22"/>
          <w:szCs w:val="22"/>
          <w:lang w:eastAsia="en-US"/>
        </w:rPr>
        <w:t xml:space="preserve">deux </w:t>
      </w:r>
      <w:r w:rsidRPr="005D5C61">
        <w:rPr>
          <w:rFonts w:ascii="DINPro-Regular" w:eastAsia="Batang" w:hAnsi="DINPro-Regular"/>
          <w:sz w:val="22"/>
          <w:szCs w:val="22"/>
          <w:lang w:eastAsia="en-US"/>
        </w:rPr>
        <w:t xml:space="preserve">groupements de </w:t>
      </w:r>
      <w:r w:rsidR="00B93E74">
        <w:rPr>
          <w:rFonts w:ascii="DINPro-Regular" w:eastAsia="Batang" w:hAnsi="DINPro-Regular"/>
          <w:sz w:val="22"/>
          <w:szCs w:val="22"/>
          <w:lang w:eastAsia="en-US"/>
        </w:rPr>
        <w:t xml:space="preserve">coopération sanitaire, </w:t>
      </w:r>
      <w:r w:rsidRPr="005D5C61">
        <w:rPr>
          <w:rFonts w:ascii="DINPro-Regular" w:eastAsia="Batang" w:hAnsi="DINPro-Regular"/>
          <w:sz w:val="22"/>
          <w:szCs w:val="22"/>
          <w:lang w:eastAsia="en-US"/>
        </w:rPr>
        <w:t>à la date de l’arrêté portant création du Groupement par transformation des deux groupements de coopération sanitaire.</w:t>
      </w:r>
    </w:p>
    <w:p w:rsidR="005D5C61" w:rsidRPr="005D5C61" w:rsidRDefault="005D5C61" w:rsidP="005D5C6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La substitution du Groupement d’intérêt public aux contrats conclus par le Groupement de coopération sanitaire E-santé Picardie et le Groupement de coopération sanitaire MATISS n'entraîne aucun droit à résiliation ou à indemnisation pour les cocontractants.</w:t>
      </w:r>
    </w:p>
    <w:p w:rsidR="005D5C61" w:rsidRPr="005D5C61" w:rsidRDefault="005D5C61" w:rsidP="005D5C6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L'ensemble des personnels des deux groupements de coopération sanitaire est réputé relever du Groupement d’intérêt public.</w:t>
      </w:r>
    </w:p>
    <w:p w:rsidR="005D5C61" w:rsidRPr="005D5C61" w:rsidRDefault="005D5C61" w:rsidP="005D5C61">
      <w:pPr>
        <w:numPr>
          <w:ilvl w:val="0"/>
          <w:numId w:val="2"/>
        </w:num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Le Groupement d’intérêt public jouira de la personnalité morale à compter de la date de publication au Recueil des Actes administratifs de la Région de l’arrêté portant approbation de la création du groupement par transformation des deux groupements de coopération sanitaire et transfert des biens, droits et obligations de ces derniers au groupement d’intérêt public.</w:t>
      </w: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b/>
          <w:bCs/>
          <w:sz w:val="22"/>
          <w:szCs w:val="22"/>
          <w:lang w:eastAsia="en-US"/>
        </w:rPr>
      </w:pPr>
      <w:r w:rsidRPr="005D5C61">
        <w:rPr>
          <w:rFonts w:ascii="DINPro-Regular" w:eastAsia="Batang" w:hAnsi="DINPro-Regular"/>
          <w:b/>
          <w:bCs/>
          <w:sz w:val="22"/>
          <w:szCs w:val="22"/>
          <w:lang w:eastAsia="en-US"/>
        </w:rPr>
        <w:lastRenderedPageBreak/>
        <w:t>D E C I D E :</w:t>
      </w: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450621" w:rsidP="00D062BF">
      <w:pPr>
        <w:spacing w:after="160" w:line="259" w:lineRule="auto"/>
        <w:jc w:val="both"/>
        <w:rPr>
          <w:rFonts w:ascii="DINPro-Regular" w:eastAsia="Batang" w:hAnsi="DINPro-Regular"/>
          <w:sz w:val="22"/>
          <w:szCs w:val="22"/>
          <w:lang w:eastAsia="en-US"/>
        </w:rPr>
      </w:pPr>
      <w:r>
        <w:rPr>
          <w:rFonts w:ascii="DINPro-Regular" w:eastAsia="Batang" w:hAnsi="DINPro-Regular"/>
          <w:sz w:val="22"/>
          <w:szCs w:val="22"/>
          <w:lang w:eastAsia="en-US"/>
        </w:rPr>
        <w:t xml:space="preserve">D’adhérer </w:t>
      </w:r>
      <w:r w:rsidR="005D5C61" w:rsidRPr="005D5C61">
        <w:rPr>
          <w:rFonts w:ascii="DINPro-Regular" w:eastAsia="Batang" w:hAnsi="DINPro-Regular"/>
          <w:sz w:val="22"/>
          <w:szCs w:val="22"/>
          <w:lang w:eastAsia="en-US"/>
        </w:rPr>
        <w:t>au Groupement d’intérêt public « Sant&amp; Numérique Hauts-de-France » issu de la transformation d</w:t>
      </w:r>
      <w:r>
        <w:rPr>
          <w:rFonts w:ascii="DINPro-Regular" w:eastAsia="Batang" w:hAnsi="DINPro-Regular"/>
          <w:sz w:val="22"/>
          <w:szCs w:val="22"/>
          <w:lang w:eastAsia="en-US"/>
        </w:rPr>
        <w:t xml:space="preserve">es GCS </w:t>
      </w:r>
      <w:r w:rsidR="005D5C61" w:rsidRPr="005D5C61">
        <w:rPr>
          <w:rFonts w:ascii="DINPro-Regular" w:eastAsia="Batang" w:hAnsi="DINPro-Regular"/>
          <w:sz w:val="22"/>
          <w:szCs w:val="22"/>
          <w:lang w:eastAsia="en-US"/>
        </w:rPr>
        <w:t xml:space="preserve"> </w:t>
      </w:r>
      <w:r w:rsidR="00251FF4" w:rsidRPr="00450621">
        <w:rPr>
          <w:rFonts w:ascii="DINPro-Regular" w:eastAsia="Batang" w:hAnsi="DINPro-Regular"/>
          <w:sz w:val="22"/>
          <w:szCs w:val="22"/>
          <w:lang w:eastAsia="en-US"/>
        </w:rPr>
        <w:t>E-Santé</w:t>
      </w:r>
      <w:r w:rsidRPr="00450621">
        <w:rPr>
          <w:rFonts w:ascii="DINPro-Regular" w:eastAsia="Batang" w:hAnsi="DINPro-Regular"/>
          <w:sz w:val="22"/>
          <w:szCs w:val="22"/>
          <w:lang w:eastAsia="en-US"/>
        </w:rPr>
        <w:t xml:space="preserve"> Picardie </w:t>
      </w:r>
      <w:r>
        <w:rPr>
          <w:rFonts w:ascii="DINPro-Regular" w:eastAsia="Batang" w:hAnsi="DINPro-Regular"/>
          <w:sz w:val="22"/>
          <w:szCs w:val="22"/>
          <w:lang w:eastAsia="en-US"/>
        </w:rPr>
        <w:t xml:space="preserve">et MATISS </w:t>
      </w: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2D7BCB" w:rsidP="002D7BCB">
      <w:pPr>
        <w:spacing w:after="160" w:line="259" w:lineRule="auto"/>
        <w:ind w:left="4962"/>
        <w:jc w:val="both"/>
        <w:rPr>
          <w:rFonts w:ascii="DINPro-Regular" w:eastAsia="Batang" w:hAnsi="DINPro-Regular"/>
          <w:sz w:val="22"/>
          <w:szCs w:val="22"/>
          <w:lang w:eastAsia="en-US"/>
        </w:rPr>
      </w:pPr>
      <w:r>
        <w:rPr>
          <w:rFonts w:ascii="DINPro-Regular" w:eastAsia="Batang" w:hAnsi="DINPro-Regular"/>
          <w:sz w:val="22"/>
          <w:szCs w:val="22"/>
          <w:lang w:eastAsia="en-US"/>
        </w:rPr>
        <w:t>Lieu, date</w:t>
      </w:r>
    </w:p>
    <w:p w:rsidR="005D5C61" w:rsidRPr="005D5C61" w:rsidRDefault="002D7BCB" w:rsidP="002D7BCB">
      <w:pPr>
        <w:spacing w:after="160" w:line="259" w:lineRule="auto"/>
        <w:ind w:left="4962"/>
        <w:jc w:val="both"/>
        <w:rPr>
          <w:rFonts w:ascii="DINPro-Regular" w:eastAsia="Batang" w:hAnsi="DINPro-Regular"/>
          <w:sz w:val="22"/>
          <w:szCs w:val="22"/>
          <w:lang w:eastAsia="en-US"/>
        </w:rPr>
      </w:pPr>
      <w:r>
        <w:rPr>
          <w:rFonts w:ascii="DINPro-Regular" w:eastAsia="Batang" w:hAnsi="DINPro-Regular"/>
          <w:sz w:val="22"/>
          <w:szCs w:val="22"/>
          <w:lang w:eastAsia="en-US"/>
        </w:rPr>
        <w:t>Signature du représentant légal :</w:t>
      </w: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sz w:val="22"/>
          <w:szCs w:val="22"/>
          <w:lang w:eastAsia="en-US"/>
        </w:rPr>
      </w:pPr>
    </w:p>
    <w:p w:rsidR="005D5C61" w:rsidRPr="005D5C61" w:rsidRDefault="005D5C61" w:rsidP="005D5C61">
      <w:pPr>
        <w:spacing w:after="160" w:line="259" w:lineRule="auto"/>
        <w:jc w:val="both"/>
        <w:rPr>
          <w:rFonts w:ascii="DINPro-Regular" w:eastAsia="Batang" w:hAnsi="DINPro-Regular"/>
          <w:sz w:val="22"/>
          <w:szCs w:val="22"/>
          <w:lang w:eastAsia="en-US"/>
        </w:rPr>
      </w:pPr>
      <w:r w:rsidRPr="005D5C61">
        <w:rPr>
          <w:rFonts w:ascii="DINPro-Regular" w:eastAsia="Batang" w:hAnsi="DINPro-Regular"/>
          <w:sz w:val="22"/>
          <w:szCs w:val="22"/>
          <w:lang w:eastAsia="en-US"/>
        </w:rPr>
        <w:t xml:space="preserve"> </w:t>
      </w:r>
    </w:p>
    <w:p w:rsidR="008608C2" w:rsidRDefault="008608C2"/>
    <w:p w:rsidR="008608C2" w:rsidRDefault="008608C2"/>
    <w:p w:rsidR="008608C2" w:rsidRDefault="008608C2"/>
    <w:p w:rsidR="008608C2" w:rsidRDefault="008608C2"/>
    <w:p w:rsidR="008608C2" w:rsidRDefault="008608C2"/>
    <w:p w:rsidR="008608C2" w:rsidRDefault="008608C2"/>
    <w:p w:rsidR="008608C2" w:rsidRDefault="008608C2"/>
    <w:p w:rsidR="008608C2" w:rsidRDefault="008608C2"/>
    <w:p w:rsidR="008608C2" w:rsidRDefault="008608C2"/>
    <w:p w:rsidR="008608C2" w:rsidRDefault="008608C2"/>
    <w:p w:rsidR="008608C2" w:rsidRDefault="008608C2"/>
    <w:p w:rsidR="008608C2" w:rsidRDefault="008608C2"/>
    <w:p w:rsidR="008608C2" w:rsidRDefault="008608C2"/>
    <w:p w:rsidR="00D910FE" w:rsidRDefault="008608C2">
      <w:r>
        <w:rPr>
          <w:rStyle w:val="Appeldenotedefin"/>
        </w:rPr>
        <w:footnoteRef/>
      </w:r>
      <w:r>
        <w:t xml:space="preserve"> « </w:t>
      </w:r>
      <w:r w:rsidRPr="00E617C5">
        <w:t>La transformation de toute personne morale en groupement d'intérêt public, ou l'inverse, n'entraîne ni dissolution ni création d'une personne morale nouvelle au regard des dispositions fiscales et sociales.</w:t>
      </w:r>
      <w:r>
        <w:t> »</w:t>
      </w:r>
    </w:p>
    <w:sectPr w:rsidR="00D910FE" w:rsidSect="000952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BE" w:rsidRDefault="002338BE">
      <w:r>
        <w:separator/>
      </w:r>
    </w:p>
  </w:endnote>
  <w:endnote w:type="continuationSeparator" w:id="0">
    <w:p w:rsidR="002338BE" w:rsidRDefault="0023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Regular">
    <w:altName w:val="Arial"/>
    <w:panose1 w:val="00000000000000000000"/>
    <w:charset w:val="00"/>
    <w:family w:val="modern"/>
    <w:notTrueType/>
    <w:pitch w:val="variable"/>
    <w:sig w:usb0="00000001" w:usb1="4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13" w:rsidRDefault="008608C2">
    <w:pPr>
      <w:pStyle w:val="Pieddepage"/>
      <w:jc w:val="right"/>
    </w:pPr>
    <w:r>
      <w:t xml:space="preserve">Page </w:t>
    </w:r>
    <w:r>
      <w:rPr>
        <w:b/>
        <w:bCs/>
      </w:rPr>
      <w:fldChar w:fldCharType="begin"/>
    </w:r>
    <w:r>
      <w:rPr>
        <w:b/>
        <w:bCs/>
      </w:rPr>
      <w:instrText>PAGE</w:instrText>
    </w:r>
    <w:r>
      <w:rPr>
        <w:b/>
        <w:bCs/>
      </w:rPr>
      <w:fldChar w:fldCharType="separate"/>
    </w:r>
    <w:r w:rsidR="00FF1DD8">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FF1DD8">
      <w:rPr>
        <w:b/>
        <w:bCs/>
        <w:noProof/>
      </w:rPr>
      <w:t>3</w:t>
    </w:r>
    <w:r>
      <w:rPr>
        <w:b/>
        <w:bCs/>
      </w:rPr>
      <w:fldChar w:fldCharType="end"/>
    </w:r>
  </w:p>
  <w:p w:rsidR="006F7613" w:rsidRDefault="002338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BE" w:rsidRDefault="002338BE">
      <w:r>
        <w:separator/>
      </w:r>
    </w:p>
  </w:footnote>
  <w:footnote w:type="continuationSeparator" w:id="0">
    <w:p w:rsidR="002338BE" w:rsidRDefault="00233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35351"/>
    <w:multiLevelType w:val="hybridMultilevel"/>
    <w:tmpl w:val="022A7C90"/>
    <w:lvl w:ilvl="0" w:tplc="040C0019">
      <w:start w:val="1"/>
      <w:numFmt w:val="lowerLetter"/>
      <w:lvlText w:val="%1."/>
      <w:lvlJc w:val="left"/>
      <w:pPr>
        <w:ind w:left="1428" w:hanging="360"/>
      </w:pPr>
    </w:lvl>
    <w:lvl w:ilvl="1" w:tplc="040C0003">
      <w:start w:val="1"/>
      <w:numFmt w:val="decimal"/>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1">
    <w:nsid w:val="50144433"/>
    <w:multiLevelType w:val="hybridMultilevel"/>
    <w:tmpl w:val="88F822D6"/>
    <w:lvl w:ilvl="0" w:tplc="21C6EBAA">
      <w:numFmt w:val="bullet"/>
      <w:lvlText w:val="-"/>
      <w:lvlJc w:val="left"/>
      <w:pPr>
        <w:ind w:left="1356" w:hanging="360"/>
      </w:pPr>
      <w:rPr>
        <w:rFonts w:ascii="Cambria" w:eastAsia="Times New Roman" w:hAnsi="Cambria" w:cs="Times New Roman" w:hint="default"/>
      </w:rPr>
    </w:lvl>
    <w:lvl w:ilvl="1" w:tplc="040C0003">
      <w:start w:val="1"/>
      <w:numFmt w:val="bullet"/>
      <w:lvlText w:val="o"/>
      <w:lvlJc w:val="left"/>
      <w:pPr>
        <w:ind w:left="2076" w:hanging="360"/>
      </w:pPr>
      <w:rPr>
        <w:rFonts w:ascii="Courier New" w:hAnsi="Courier New" w:cs="Courier New" w:hint="default"/>
      </w:rPr>
    </w:lvl>
    <w:lvl w:ilvl="2" w:tplc="040C0005">
      <w:start w:val="1"/>
      <w:numFmt w:val="bullet"/>
      <w:lvlText w:val=""/>
      <w:lvlJc w:val="left"/>
      <w:pPr>
        <w:ind w:left="2796" w:hanging="360"/>
      </w:pPr>
      <w:rPr>
        <w:rFonts w:ascii="Wingdings" w:hAnsi="Wingdings" w:hint="default"/>
      </w:rPr>
    </w:lvl>
    <w:lvl w:ilvl="3" w:tplc="040C0001" w:tentative="1">
      <w:start w:val="1"/>
      <w:numFmt w:val="bullet"/>
      <w:lvlText w:val=""/>
      <w:lvlJc w:val="left"/>
      <w:pPr>
        <w:ind w:left="3516" w:hanging="360"/>
      </w:pPr>
      <w:rPr>
        <w:rFonts w:ascii="Symbol" w:hAnsi="Symbol" w:hint="default"/>
      </w:rPr>
    </w:lvl>
    <w:lvl w:ilvl="4" w:tplc="040C0003" w:tentative="1">
      <w:start w:val="1"/>
      <w:numFmt w:val="bullet"/>
      <w:lvlText w:val="o"/>
      <w:lvlJc w:val="left"/>
      <w:pPr>
        <w:ind w:left="4236" w:hanging="360"/>
      </w:pPr>
      <w:rPr>
        <w:rFonts w:ascii="Courier New" w:hAnsi="Courier New" w:cs="Courier New" w:hint="default"/>
      </w:rPr>
    </w:lvl>
    <w:lvl w:ilvl="5" w:tplc="040C0005" w:tentative="1">
      <w:start w:val="1"/>
      <w:numFmt w:val="bullet"/>
      <w:lvlText w:val=""/>
      <w:lvlJc w:val="left"/>
      <w:pPr>
        <w:ind w:left="4956" w:hanging="360"/>
      </w:pPr>
      <w:rPr>
        <w:rFonts w:ascii="Wingdings" w:hAnsi="Wingdings" w:hint="default"/>
      </w:rPr>
    </w:lvl>
    <w:lvl w:ilvl="6" w:tplc="040C0001" w:tentative="1">
      <w:start w:val="1"/>
      <w:numFmt w:val="bullet"/>
      <w:lvlText w:val=""/>
      <w:lvlJc w:val="left"/>
      <w:pPr>
        <w:ind w:left="5676" w:hanging="360"/>
      </w:pPr>
      <w:rPr>
        <w:rFonts w:ascii="Symbol" w:hAnsi="Symbol" w:hint="default"/>
      </w:rPr>
    </w:lvl>
    <w:lvl w:ilvl="7" w:tplc="040C0003" w:tentative="1">
      <w:start w:val="1"/>
      <w:numFmt w:val="bullet"/>
      <w:lvlText w:val="o"/>
      <w:lvlJc w:val="left"/>
      <w:pPr>
        <w:ind w:left="6396" w:hanging="360"/>
      </w:pPr>
      <w:rPr>
        <w:rFonts w:ascii="Courier New" w:hAnsi="Courier New" w:cs="Courier New" w:hint="default"/>
      </w:rPr>
    </w:lvl>
    <w:lvl w:ilvl="8" w:tplc="040C0005" w:tentative="1">
      <w:start w:val="1"/>
      <w:numFmt w:val="bullet"/>
      <w:lvlText w:val=""/>
      <w:lvlJc w:val="left"/>
      <w:pPr>
        <w:ind w:left="7116" w:hanging="360"/>
      </w:pPr>
      <w:rPr>
        <w:rFonts w:ascii="Wingdings" w:hAnsi="Wingdings" w:hint="default"/>
      </w:rPr>
    </w:lvl>
  </w:abstractNum>
  <w:abstractNum w:abstractNumId="2">
    <w:nsid w:val="689313F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61"/>
    <w:rsid w:val="001639B4"/>
    <w:rsid w:val="002338BE"/>
    <w:rsid w:val="00251FF4"/>
    <w:rsid w:val="002D7BCB"/>
    <w:rsid w:val="00450621"/>
    <w:rsid w:val="00540BF2"/>
    <w:rsid w:val="005D5C61"/>
    <w:rsid w:val="006D7D4C"/>
    <w:rsid w:val="00733CC0"/>
    <w:rsid w:val="008608C2"/>
    <w:rsid w:val="00865F2F"/>
    <w:rsid w:val="009809E6"/>
    <w:rsid w:val="00B45BF2"/>
    <w:rsid w:val="00B93E74"/>
    <w:rsid w:val="00D062BF"/>
    <w:rsid w:val="00D910FE"/>
    <w:rsid w:val="00EC5552"/>
    <w:rsid w:val="00FF1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D5C61"/>
    <w:pPr>
      <w:tabs>
        <w:tab w:val="center" w:pos="4536"/>
        <w:tab w:val="right" w:pos="9072"/>
      </w:tabs>
    </w:pPr>
  </w:style>
  <w:style w:type="character" w:customStyle="1" w:styleId="PieddepageCar">
    <w:name w:val="Pied de page Car"/>
    <w:basedOn w:val="Policepardfaut"/>
    <w:link w:val="Pieddepage"/>
    <w:rsid w:val="005D5C61"/>
    <w:rPr>
      <w:sz w:val="24"/>
      <w:szCs w:val="24"/>
    </w:rPr>
  </w:style>
  <w:style w:type="character" w:styleId="Appeldenotedefin">
    <w:name w:val="endnote reference"/>
    <w:uiPriority w:val="99"/>
    <w:unhideWhenUsed/>
    <w:rsid w:val="008608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D5C61"/>
    <w:pPr>
      <w:tabs>
        <w:tab w:val="center" w:pos="4536"/>
        <w:tab w:val="right" w:pos="9072"/>
      </w:tabs>
    </w:pPr>
  </w:style>
  <w:style w:type="character" w:customStyle="1" w:styleId="PieddepageCar">
    <w:name w:val="Pied de page Car"/>
    <w:basedOn w:val="Policepardfaut"/>
    <w:link w:val="Pieddepage"/>
    <w:rsid w:val="005D5C61"/>
    <w:rPr>
      <w:sz w:val="24"/>
      <w:szCs w:val="24"/>
    </w:rPr>
  </w:style>
  <w:style w:type="character" w:styleId="Appeldenotedefin">
    <w:name w:val="endnote reference"/>
    <w:uiPriority w:val="99"/>
    <w:unhideWhenUsed/>
    <w:rsid w:val="008608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4113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DEVAUD Sophie</cp:lastModifiedBy>
  <cp:revision>2</cp:revision>
  <cp:lastPrinted>2017-11-15T07:41:00Z</cp:lastPrinted>
  <dcterms:created xsi:type="dcterms:W3CDTF">2018-02-14T08:33:00Z</dcterms:created>
  <dcterms:modified xsi:type="dcterms:W3CDTF">2018-02-14T08:33:00Z</dcterms:modified>
</cp:coreProperties>
</file>